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32B9F">
      <w:pPr>
        <w:wordWrap w:val="0"/>
        <w:ind w:left="991" w:leftChars="472"/>
        <w:jc w:val="center"/>
        <w:rPr>
          <w:rFonts w:ascii="Times New Roman" w:hAnsi="Times New Roman" w:eastAsia="方正小标宋简体" w:cs="Times New Roman"/>
          <w:sz w:val="30"/>
          <w:szCs w:val="30"/>
        </w:rPr>
      </w:pPr>
    </w:p>
    <w:p w14:paraId="042280FC">
      <w:pPr>
        <w:wordWrap w:val="0"/>
        <w:ind w:left="991" w:leftChars="472"/>
        <w:jc w:val="center"/>
        <w:rPr>
          <w:rFonts w:ascii="Times New Roman" w:hAnsi="Times New Roman" w:eastAsia="方正小标宋简体" w:cs="Times New Roman"/>
          <w:sz w:val="40"/>
          <w:szCs w:val="40"/>
        </w:rPr>
      </w:pPr>
    </w:p>
    <w:p w14:paraId="316155D4">
      <w:pPr>
        <w:wordWrap w:val="0"/>
        <w:ind w:left="991" w:leftChars="472"/>
        <w:jc w:val="center"/>
        <w:rPr>
          <w:rFonts w:ascii="Times New Roman" w:hAnsi="Times New Roman" w:eastAsia="方正小标宋简体" w:cs="Times New Roman"/>
          <w:sz w:val="40"/>
          <w:szCs w:val="40"/>
        </w:rPr>
      </w:pPr>
    </w:p>
    <w:p w14:paraId="22E78A0E">
      <w:pPr>
        <w:wordWrap w:val="0"/>
        <w:ind w:left="991" w:leftChars="472"/>
        <w:jc w:val="center"/>
        <w:rPr>
          <w:rFonts w:ascii="Times New Roman" w:hAnsi="Times New Roman" w:eastAsia="方正小标宋简体" w:cs="Times New Roman"/>
          <w:sz w:val="40"/>
          <w:szCs w:val="40"/>
        </w:rPr>
      </w:pPr>
    </w:p>
    <w:p w14:paraId="2290D81A">
      <w:pPr>
        <w:wordWrap w:val="0"/>
        <w:jc w:val="center"/>
        <w:rPr>
          <w:rFonts w:ascii="黑体" w:hAnsi="黑体" w:eastAsia="黑体" w:cs="Times New Roman"/>
          <w:sz w:val="56"/>
          <w:szCs w:val="56"/>
        </w:rPr>
      </w:pPr>
      <w:r>
        <w:rPr>
          <w:rFonts w:hint="eastAsia" w:ascii="黑体" w:hAnsi="黑体" w:eastAsia="黑体" w:cs="Times New Roman"/>
          <w:sz w:val="52"/>
          <w:szCs w:val="52"/>
        </w:rPr>
        <w:t>产品质量</w:t>
      </w:r>
      <w:r>
        <w:rPr>
          <w:rFonts w:ascii="黑体" w:hAnsi="黑体" w:eastAsia="黑体" w:cs="Times New Roman"/>
          <w:sz w:val="52"/>
          <w:szCs w:val="52"/>
        </w:rPr>
        <w:t>检测能力明白纸</w:t>
      </w:r>
    </w:p>
    <w:p w14:paraId="6AB19F07">
      <w:pPr>
        <w:wordWrap w:val="0"/>
        <w:ind w:left="991" w:leftChars="472"/>
        <w:jc w:val="center"/>
        <w:rPr>
          <w:rFonts w:ascii="Times New Roman" w:hAnsi="Times New Roman" w:eastAsia="方正小标宋简体" w:cs="Times New Roman"/>
          <w:sz w:val="30"/>
          <w:szCs w:val="30"/>
        </w:rPr>
      </w:pPr>
    </w:p>
    <w:p w14:paraId="0AA77057">
      <w:pPr>
        <w:wordWrap w:val="0"/>
        <w:ind w:left="991" w:leftChars="472"/>
        <w:jc w:val="center"/>
        <w:rPr>
          <w:rFonts w:ascii="Times New Roman" w:hAnsi="Times New Roman" w:eastAsia="方正小标宋简体" w:cs="Times New Roman"/>
          <w:sz w:val="30"/>
          <w:szCs w:val="30"/>
        </w:rPr>
      </w:pPr>
    </w:p>
    <w:p w14:paraId="4C26C019">
      <w:pPr>
        <w:wordWrap w:val="0"/>
        <w:ind w:left="991" w:leftChars="472"/>
        <w:jc w:val="center"/>
        <w:rPr>
          <w:rFonts w:ascii="Times New Roman" w:hAnsi="Times New Roman" w:eastAsia="方正小标宋简体" w:cs="Times New Roman"/>
          <w:sz w:val="30"/>
          <w:szCs w:val="30"/>
        </w:rPr>
      </w:pPr>
    </w:p>
    <w:p w14:paraId="4E9EE752">
      <w:pPr>
        <w:wordWrap w:val="0"/>
        <w:ind w:left="991" w:leftChars="472"/>
        <w:jc w:val="center"/>
        <w:rPr>
          <w:rFonts w:ascii="Times New Roman" w:hAnsi="Times New Roman" w:eastAsia="方正小标宋简体" w:cs="Times New Roman"/>
          <w:sz w:val="30"/>
          <w:szCs w:val="30"/>
        </w:rPr>
      </w:pPr>
    </w:p>
    <w:p w14:paraId="4DB85099">
      <w:pPr>
        <w:wordWrap w:val="0"/>
        <w:ind w:left="991" w:leftChars="472"/>
        <w:jc w:val="center"/>
        <w:rPr>
          <w:rFonts w:ascii="Times New Roman" w:hAnsi="Times New Roman" w:eastAsia="方正小标宋简体" w:cs="Times New Roman"/>
          <w:sz w:val="28"/>
          <w:szCs w:val="28"/>
        </w:rPr>
      </w:pPr>
    </w:p>
    <w:p w14:paraId="2E2A76AE">
      <w:pPr>
        <w:wordWrap w:val="0"/>
        <w:ind w:left="991" w:leftChars="472"/>
        <w:jc w:val="center"/>
        <w:rPr>
          <w:rFonts w:ascii="Times New Roman" w:hAnsi="Times New Roman" w:eastAsia="方正小标宋简体" w:cs="Times New Roman"/>
          <w:sz w:val="28"/>
          <w:szCs w:val="28"/>
        </w:rPr>
      </w:pPr>
    </w:p>
    <w:p w14:paraId="60E9CDFF">
      <w:pPr>
        <w:wordWrap w:val="0"/>
        <w:ind w:left="991" w:leftChars="472"/>
        <w:jc w:val="center"/>
        <w:rPr>
          <w:rFonts w:ascii="Times New Roman" w:hAnsi="Times New Roman" w:eastAsia="方正小标宋简体" w:cs="Times New Roman"/>
          <w:sz w:val="28"/>
          <w:szCs w:val="28"/>
        </w:rPr>
      </w:pPr>
    </w:p>
    <w:p w14:paraId="74C1EA94">
      <w:pPr>
        <w:wordWrap w:val="0"/>
        <w:ind w:left="991" w:leftChars="472"/>
        <w:jc w:val="center"/>
        <w:rPr>
          <w:rFonts w:ascii="黑体" w:hAnsi="黑体" w:eastAsia="黑体" w:cs="Times New Roman"/>
          <w:sz w:val="40"/>
          <w:szCs w:val="40"/>
        </w:rPr>
      </w:pPr>
    </w:p>
    <w:p w14:paraId="2850B8AA">
      <w:pPr>
        <w:wordWrap w:val="0"/>
        <w:ind w:left="991" w:leftChars="472"/>
        <w:jc w:val="center"/>
        <w:rPr>
          <w:rFonts w:hint="eastAsia" w:ascii="黑体" w:hAnsi="黑体" w:eastAsia="黑体" w:cs="Times New Roman"/>
          <w:sz w:val="52"/>
          <w:szCs w:val="52"/>
          <w:lang w:val="de-DE"/>
        </w:rPr>
      </w:pPr>
    </w:p>
    <w:p w14:paraId="27B3AF17">
      <w:pPr>
        <w:wordWrap w:val="0"/>
        <w:ind w:left="991" w:leftChars="472"/>
        <w:jc w:val="center"/>
        <w:rPr>
          <w:rFonts w:hint="eastAsia" w:ascii="黑体" w:hAnsi="黑体" w:eastAsia="黑体" w:cs="Times New Roman"/>
          <w:sz w:val="52"/>
          <w:szCs w:val="52"/>
          <w:lang w:val="de-DE"/>
        </w:rPr>
      </w:pPr>
    </w:p>
    <w:p w14:paraId="270A0752">
      <w:pPr>
        <w:wordWrap w:val="0"/>
        <w:jc w:val="center"/>
        <w:rPr>
          <w:rFonts w:hint="eastAsia" w:ascii="黑体" w:hAnsi="黑体" w:eastAsia="黑体" w:cs="Times New Roman"/>
          <w:sz w:val="52"/>
          <w:szCs w:val="52"/>
          <w:lang w:val="de-DE"/>
        </w:rPr>
      </w:pPr>
      <w:r>
        <w:rPr>
          <w:rFonts w:hint="eastAsia" w:ascii="黑体" w:hAnsi="黑体" w:eastAsia="黑体" w:cs="Times New Roman"/>
          <w:sz w:val="52"/>
          <w:szCs w:val="52"/>
          <w:lang w:val="de-DE"/>
        </w:rPr>
        <w:t>中机检测有限公司</w:t>
      </w:r>
    </w:p>
    <w:p w14:paraId="4D0D257A">
      <w:pPr>
        <w:wordWrap w:val="0"/>
        <w:jc w:val="center"/>
        <w:rPr>
          <w:rFonts w:hint="eastAsia" w:ascii="黑体" w:hAnsi="黑体" w:eastAsia="黑体" w:cs="Times New Roman"/>
          <w:sz w:val="52"/>
          <w:szCs w:val="52"/>
          <w:lang w:val="de-DE"/>
        </w:rPr>
      </w:pPr>
      <w:r>
        <w:rPr>
          <w:rFonts w:hint="eastAsia" w:ascii="黑体" w:hAnsi="黑体" w:eastAsia="黑体" w:cs="Times New Roman"/>
          <w:sz w:val="52"/>
          <w:szCs w:val="52"/>
          <w:lang w:val="de-DE"/>
        </w:rPr>
        <w:t>国家试验机质量检验检测中心</w:t>
      </w:r>
    </w:p>
    <w:p w14:paraId="5ED2A6AA">
      <w:pPr>
        <w:wordWrap w:val="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月</w:t>
      </w:r>
    </w:p>
    <w:p w14:paraId="39D9B731">
      <w:pPr>
        <w:wordWrap w:val="0"/>
        <w:spacing w:line="360" w:lineRule="auto"/>
        <w:rPr>
          <w:rFonts w:ascii="Times New Roman" w:hAnsi="Times New Roman" w:cs="Times New Roman"/>
          <w:sz w:val="18"/>
          <w:szCs w:val="21"/>
        </w:rPr>
      </w:pPr>
    </w:p>
    <w:p w14:paraId="2509960D">
      <w:pPr>
        <w:widowControl/>
        <w:wordWrap w:val="0"/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中机检测有限公司暨国家试验机质量检验检测中心</w:t>
      </w:r>
    </w:p>
    <w:p w14:paraId="0E3E6520">
      <w:pPr>
        <w:wordWrap w:val="0"/>
        <w:snapToGrid w:val="0"/>
        <w:spacing w:line="276" w:lineRule="auto"/>
        <w:ind w:right="-189" w:rightChars="-90"/>
        <w:jc w:val="center"/>
        <w:rPr>
          <w:rFonts w:ascii="仿宋_GB2312" w:hAnsi="Times New Roman" w:eastAsia="仿宋_GB2312" w:cs="Times New Roman"/>
          <w:sz w:val="24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简   介</w:t>
      </w:r>
    </w:p>
    <w:p w14:paraId="3702B5B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-189" w:rightChars="-90" w:firstLine="480" w:firstLineChars="200"/>
        <w:jc w:val="left"/>
        <w:textAlignment w:val="auto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中机检测有限公司暨国家试验机质量检验检测中心，前身是长春材料试验机测试中心，成立于1972年，2021年正式更名为中机检测有限公司，是中机试验装备股份有限公司的全资子公司，具备武器装备承制资格二级保密单位资质，是科技成果检测鉴定国家级检测机构</w:t>
      </w:r>
      <w:r>
        <w:rPr>
          <w:rFonts w:hint="eastAsia" w:ascii="仿宋_GB2312" w:hAnsi="Times New Roman" w:eastAsia="仿宋_GB2312" w:cs="Times New Roman"/>
          <w:sz w:val="24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24"/>
        </w:rPr>
        <w:t>秉承中机试验六十多年科研院所的专业技术，在行业重大科研项目中担当检测主力军，拥有多位行业内知名专家，教授高工、研究员等高层次人才15人，高级以上工程师20人，整体从事检测人员达到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90</w:t>
      </w:r>
      <w:r>
        <w:rPr>
          <w:rFonts w:hint="eastAsia" w:ascii="仿宋_GB2312" w:hAnsi="Times New Roman" w:eastAsia="仿宋_GB2312" w:cs="Times New Roman"/>
          <w:sz w:val="24"/>
        </w:rPr>
        <w:t>余人，具有检测方法的研究能力和试验仪器的研发能力</w:t>
      </w:r>
    </w:p>
    <w:p w14:paraId="270848C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-189" w:rightChars="-90" w:firstLine="480" w:firstLineChars="200"/>
        <w:jc w:val="both"/>
        <w:textAlignment w:val="auto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</w:rPr>
        <w:t>中机检测以材料检测、零部件检测、计量校准作为主要发展方向，主要从事各类金属、非金属材料力学/环境测试分析，以及军工、核能、汽车、风电、轨道交通、轴承、工程等领域零部件及材料检测，同时可以进行各项计量器具/非标试验设备计量校准。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公司</w:t>
      </w:r>
      <w:r>
        <w:rPr>
          <w:rFonts w:hint="eastAsia" w:ascii="仿宋_GB2312" w:hAnsi="Times New Roman" w:eastAsia="仿宋_GB2312" w:cs="Times New Roman"/>
          <w:sz w:val="24"/>
        </w:rPr>
        <w:t>立足长春本部，在全国范围内认证多地点实验室或联合协作实验室，重点开发京津翼、长三角等区域，全局采用数字化管理，发挥各地差异化发展优势，提升为客户提供整套测试服务方案的能力与响应速度</w:t>
      </w:r>
      <w:r>
        <w:rPr>
          <w:rFonts w:hint="eastAsia" w:ascii="仿宋_GB2312" w:hAnsi="Times New Roman" w:eastAsia="仿宋_GB2312" w:cs="Times New Roman"/>
          <w:sz w:val="24"/>
          <w:lang w:eastAsia="zh-CN"/>
        </w:rPr>
        <w:t>。</w:t>
      </w:r>
    </w:p>
    <w:p w14:paraId="3D2DB47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-189" w:rightChars="-90" w:firstLine="480" w:firstLineChars="200"/>
        <w:jc w:val="left"/>
        <w:textAlignment w:val="auto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长春总部:开展材料检测服务、零部件检测服务、计量校准服务、试验设备检测服务等业务，利用信息化管理系统实行总部管理;</w:t>
      </w:r>
    </w:p>
    <w:p w14:paraId="662C731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-189" w:rightChars="-90" w:firstLine="480" w:firstLineChars="200"/>
        <w:jc w:val="left"/>
        <w:textAlignment w:val="auto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</w:rPr>
        <w:t>北京分中心（平台窗口）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:</w:t>
      </w:r>
      <w:r>
        <w:rPr>
          <w:rFonts w:hint="eastAsia" w:ascii="仿宋_GB2312" w:hAnsi="Times New Roman" w:eastAsia="仿宋_GB2312" w:cs="Times New Roman"/>
          <w:sz w:val="24"/>
        </w:rPr>
        <w:t>开展军工、核电、航空航天等领域的零部件和材料性能测试、材料延寿分析等业务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;</w:t>
      </w:r>
    </w:p>
    <w:p w14:paraId="4CAD9C0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-189" w:rightChars="-90" w:firstLine="480" w:firstLineChars="200"/>
        <w:jc w:val="left"/>
        <w:textAlignment w:val="auto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无锡分中心:开展动静态材料测试、多环境耦合性能测试、汽车及轨道客车等零部件测试业务。</w:t>
      </w:r>
    </w:p>
    <w:p w14:paraId="79133ABC">
      <w:pPr>
        <w:widowControl/>
        <w:wordWrap w:val="0"/>
        <w:ind w:right="-189" w:rightChars="-90"/>
        <w:jc w:val="left"/>
        <w:rPr>
          <w:rFonts w:ascii="Times New Roman" w:hAnsi="Times New Roman" w:cs="Times New Roman"/>
        </w:rPr>
      </w:pPr>
    </w:p>
    <w:p w14:paraId="32BB701C">
      <w:pPr>
        <w:spacing w:line="50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检测能力分类</w:t>
      </w:r>
    </w:p>
    <w:p w14:paraId="4154DC2A">
      <w:pPr>
        <w:spacing w:line="500" w:lineRule="exact"/>
        <w:jc w:val="left"/>
        <w:rPr>
          <w:rFonts w:hint="default" w:ascii="Times New Roman" w:hAnsi="Times New Roman" w:eastAsia="方正小标宋简体" w:cs="Times New Roman"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一、检测服务领域</w:t>
      </w:r>
    </w:p>
    <w:p w14:paraId="3813D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1、</w:t>
      </w:r>
      <w:r>
        <w:rPr>
          <w:rFonts w:hint="default" w:ascii="仿宋_GB2312" w:hAnsi="仿宋_GB2312" w:eastAsia="仿宋_GB2312" w:cs="仿宋_GB2312"/>
          <w:sz w:val="24"/>
          <w:lang w:val="en-US" w:eastAsia="zh-CN"/>
        </w:rPr>
        <w:t>多台套电子、机械式蠕变试验机、真空高温试验机，可以对材料的多种环境或特殊极限环境进行性能测试，涵盖蠕变、持久、松弛、拉伸、压缩、弯曲等试验能力，服务行业涵盖核能、航空航天、军工、轴承、汽车、风电、轨道交通、工程等领域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24"/>
          <w:lang w:val="en-US" w:eastAsia="zh-CN"/>
        </w:rPr>
        <w:t>配置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近4</w:t>
      </w:r>
      <w:r>
        <w:rPr>
          <w:rFonts w:hint="default" w:ascii="仿宋_GB2312" w:hAnsi="仿宋_GB2312" w:eastAsia="仿宋_GB2312" w:cs="仿宋_GB2312"/>
          <w:sz w:val="24"/>
          <w:lang w:val="en-US" w:eastAsia="zh-CN"/>
        </w:rPr>
        <w:t>00台套蠕变试验机及蠕变疲劳试验机，温度范围（300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-25</w:t>
      </w:r>
      <w:r>
        <w:rPr>
          <w:rFonts w:hint="default" w:ascii="仿宋_GB2312" w:hAnsi="仿宋_GB2312" w:eastAsia="仿宋_GB2312" w:cs="仿宋_GB2312"/>
          <w:sz w:val="24"/>
          <w:lang w:val="en-US" w:eastAsia="zh-CN"/>
        </w:rPr>
        <w:t>00）℃；也可根据客户需求进行设备扩展。</w:t>
      </w:r>
    </w:p>
    <w:p w14:paraId="6034D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sz w:val="24"/>
          <w:lang w:val="en-US" w:eastAsia="zh-CN"/>
        </w:rPr>
        <w:t>多台套、多规格动态疲劳试验机（MTS、INSTRON、国产中机试验）、高频试验机（Zwick、国产中机试验）,可以开展金属、非金属材料的高周、高温高周疲劳和室温及高温低周、高温应变疲劳、裂纹扩展速率试验（da/dN）、断裂韧度KIC、JIC、CTOD、门槛值ΔKth等疲劳性能测试。为航空航天、核电、火电、军工等领域材料研发测试提供数据，对材料延寿等性能进行分析，解决应变试验“卡脖子”关键问题。</w:t>
      </w:r>
    </w:p>
    <w:p w14:paraId="03B2A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sz w:val="24"/>
          <w:lang w:val="en-US" w:eastAsia="zh-CN"/>
        </w:rPr>
        <w:t>多台套电子万能试验机、液压万能试验机、旋转弯曲试验机、螺栓试验机、冲击试验机、扭转试验机等，可以开展材料的多种类型的材料力学性能试验，也可附加环境装置进行特殊氛围下的材料性能、零部件试验。</w:t>
      </w:r>
    </w:p>
    <w:p w14:paraId="0807D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4、</w:t>
      </w:r>
      <w:r>
        <w:rPr>
          <w:rFonts w:hint="default" w:ascii="仿宋_GB2312" w:hAnsi="仿宋_GB2312" w:eastAsia="仿宋_GB2312" w:cs="仿宋_GB2312"/>
          <w:sz w:val="24"/>
          <w:lang w:val="en-US" w:eastAsia="zh-CN"/>
        </w:rPr>
        <w:t>具备化学成分分析检测手段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24"/>
          <w:lang w:val="en-US" w:eastAsia="zh-CN"/>
        </w:rPr>
        <w:t>拥有CS和ONH化学分析设备、电感耦合式ICP 设备可开展有机样品/无机样品的燃烧分析，测定无机样品中的氧、氮和氢元素含量。通过电阻炉和高频感应炉准确的分析碳和硫的含量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24"/>
          <w:lang w:val="en-US" w:eastAsia="zh-CN"/>
        </w:rPr>
        <w:t>可以进行金属和非金属类材料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多</w:t>
      </w:r>
      <w:r>
        <w:rPr>
          <w:rFonts w:hint="default" w:ascii="仿宋_GB2312" w:hAnsi="仿宋_GB2312" w:eastAsia="仿宋_GB2312" w:cs="仿宋_GB2312"/>
          <w:sz w:val="24"/>
          <w:lang w:val="en-US" w:eastAsia="zh-CN"/>
        </w:rPr>
        <w:t>种元素的检测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。</w:t>
      </w:r>
    </w:p>
    <w:p w14:paraId="02AA3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5、拥有</w:t>
      </w:r>
      <w:r>
        <w:rPr>
          <w:rFonts w:hint="default" w:ascii="仿宋_GB2312" w:hAnsi="仿宋_GB2312" w:eastAsia="仿宋_GB2312" w:cs="仿宋_GB2312"/>
          <w:sz w:val="24"/>
          <w:lang w:val="en-US" w:eastAsia="zh-CN"/>
        </w:rPr>
        <w:t>25kN-5000kN静压作动器及摩擦副作动器多套，最高试验频率可达300Hz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24"/>
          <w:lang w:val="en-US" w:eastAsia="zh-CN"/>
        </w:rPr>
        <w:t>1000Nm-50000Nm静压扭转作动器及摩擦副扭转作动器多套，最高试验频率可达100Hz；</w:t>
      </w:r>
    </w:p>
    <w:p w14:paraId="4D795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lang w:val="en-US" w:eastAsia="zh-CN"/>
        </w:rPr>
        <w:t>25kN-2000kN球铰支座，可进行多自由度试验台的灵活搭建；最大至4500kN大面积的加载平台及龙门架多套；峰值流量达到800L/min的集中油源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24"/>
          <w:lang w:val="en-US" w:eastAsia="zh-CN"/>
        </w:rPr>
        <w:t>配置了自主研发多通道控制器、美国MTS控制器、德国DOLI控制器、美国BISS控制器等，通道数达到64通道以上，具备常规波形、外部输入波形、路谱迭代等功能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。</w:t>
      </w:r>
    </w:p>
    <w:p w14:paraId="620A8F46"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二、计量校准服务</w:t>
      </w:r>
    </w:p>
    <w:p w14:paraId="17F7A779">
      <w:pPr>
        <w:spacing w:line="500" w:lineRule="exact"/>
        <w:ind w:firstLine="480" w:firstLineChars="200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1、常规校准业务：</w:t>
      </w:r>
    </w:p>
    <w:p w14:paraId="1B998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校准内容：具备长度、质量、热工、压力、温度、力值、同轴度、力值、速度</w:t>
      </w:r>
    </w:p>
    <w:p w14:paraId="734DF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校准标准：美标校准、日标、欧标、英标、国际标准等</w:t>
      </w:r>
      <w:bookmarkStart w:id="0" w:name="_GoBack"/>
      <w:bookmarkEnd w:id="0"/>
    </w:p>
    <w:p w14:paraId="7E9D0FAD">
      <w:pPr>
        <w:numPr>
          <w:numId w:val="0"/>
        </w:numPr>
        <w:spacing w:line="500" w:lineRule="exact"/>
        <w:ind w:firstLine="480" w:firstLineChars="200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2、设备校准业务：</w:t>
      </w:r>
    </w:p>
    <w:p w14:paraId="639BC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校准内容：具备平衡机、无损检测设备、环境测试设备、 X射线探伤机、超声探伤仪、磁粉探伤机、超声测厚仪校准资质。拥有平衡机标委会，起草平衡机检测标准，在平衡机检测方面具备绝对优势具有各种常规试验机、非标试验机的计量校准能力、容量、移液器、化学方向。</w:t>
      </w:r>
    </w:p>
    <w:p w14:paraId="5FB06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校准标准：美标校准、日标、欧标、英标、国际标准等</w:t>
      </w:r>
    </w:p>
    <w:p w14:paraId="537B1033">
      <w:pPr>
        <w:numPr>
          <w:numId w:val="0"/>
        </w:numPr>
        <w:spacing w:line="500" w:lineRule="exact"/>
        <w:ind w:firstLine="480" w:firstLineChars="200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3、交通方向校准业务：</w:t>
      </w:r>
    </w:p>
    <w:p w14:paraId="4C8B8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校准内容：专用仪器校准、公路校准、建材等</w:t>
      </w:r>
    </w:p>
    <w:p w14:paraId="3C907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校准标准：规程规范等</w:t>
      </w:r>
    </w:p>
    <w:p w14:paraId="1A0FE203"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主要检测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能力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581"/>
        <w:gridCol w:w="6789"/>
      </w:tblGrid>
      <w:tr w14:paraId="34FC8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</w:tcPr>
          <w:p w14:paraId="4274815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56" w:type="pct"/>
          </w:tcPr>
          <w:p w14:paraId="0A92102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3675" w:type="pct"/>
          </w:tcPr>
          <w:p w14:paraId="2081F76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主要检测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服务</w:t>
            </w:r>
          </w:p>
        </w:tc>
      </w:tr>
      <w:tr w14:paraId="7A044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  <w:vAlign w:val="center"/>
          </w:tcPr>
          <w:p w14:paraId="56ECE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highlight w:val="none"/>
              </w:rPr>
              <w:t>1</w:t>
            </w:r>
          </w:p>
        </w:tc>
        <w:tc>
          <w:tcPr>
            <w:tcW w:w="856" w:type="pct"/>
            <w:vAlign w:val="center"/>
          </w:tcPr>
          <w:p w14:paraId="5DD43362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高温持久蠕变检测能力</w:t>
            </w:r>
          </w:p>
        </w:tc>
        <w:tc>
          <w:tcPr>
            <w:tcW w:w="3675" w:type="pct"/>
          </w:tcPr>
          <w:p w14:paraId="7E4B7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检测能力：多台套电子、机械式蠕变试验机，可以对多种材料进行不同温度的高温性能测试，检测项目包括蠕变、持久、松弛、拉伸、压缩、弯曲等，服务行业涵盖核能、航空航天、军工、轴承、汽车、风电、轨道交通、工程等领域。</w:t>
            </w:r>
          </w:p>
          <w:p w14:paraId="3187D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特色服务：根据材料特性配置各类陶瓷夹具，能够实现1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200℃持久蠕变测试能力；量身制作试验工装，实现极小尺寸试样的测试能力；解决持久蠕变测试当前技术难点。</w:t>
            </w:r>
          </w:p>
        </w:tc>
      </w:tr>
      <w:tr w14:paraId="6081C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  <w:vAlign w:val="center"/>
          </w:tcPr>
          <w:p w14:paraId="1148BCB3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center"/>
              <w:textAlignment w:val="auto"/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56" w:type="pct"/>
            <w:vAlign w:val="center"/>
          </w:tcPr>
          <w:p w14:paraId="4692D7A1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center"/>
              <w:textAlignment w:val="auto"/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疲劳断裂检测能力</w:t>
            </w:r>
          </w:p>
        </w:tc>
        <w:tc>
          <w:tcPr>
            <w:tcW w:w="3675" w:type="pct"/>
          </w:tcPr>
          <w:p w14:paraId="7D7BA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检测能力：多台套、多规格电液伺服疲劳试验机、电子万能试验机,可以开展金属、非金属材料的高周、高温高周疲劳和室温及高温低周、高温应变疲劳、裂纹扩展速率试验（da/dN）、断裂韧度KIC、JIC、CTOD、门槛值ΔKth、静态试验等性能测试。服务行业涵盖核能、航空航天、军工、轴承、汽车、风电、轨道交通、工程等领域。</w:t>
            </w:r>
          </w:p>
          <w:p w14:paraId="5FD07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特色服务：专注于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金属材料及复合材料性能的检测，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具备材料的高低周疲劳、开孔拉伸及压缩、层间剪切、面内剪切等测试能力。</w:t>
            </w:r>
          </w:p>
        </w:tc>
      </w:tr>
      <w:tr w14:paraId="21554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  <w:vAlign w:val="center"/>
          </w:tcPr>
          <w:p w14:paraId="6CFD9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6" w:type="pct"/>
            <w:vAlign w:val="center"/>
          </w:tcPr>
          <w:p w14:paraId="58B65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真空超高温检测能力</w:t>
            </w:r>
          </w:p>
        </w:tc>
        <w:tc>
          <w:tcPr>
            <w:tcW w:w="3675" w:type="pct"/>
          </w:tcPr>
          <w:p w14:paraId="42EA4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检测能力：多台套真空高温试验机，可以在多种环境或特殊极限环境下进行性能测试，真空环境下最高温度可达2500℃，检测项目包括拉伸试验、压缩试验、弯曲试验、剪切试验、持久试验、蠕变试验等，服务行业涵盖核能、航空航天等领域。</w:t>
            </w:r>
          </w:p>
          <w:p w14:paraId="7161A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特色服务：专业材料机理研究及工装设计团队，可根据材料特性量身制作试验工装夹具，适用于各种规格及异形样品，采用多手段实现超高温真空环境及各类气氛环境下的材料性能测试。</w:t>
            </w:r>
          </w:p>
        </w:tc>
      </w:tr>
    </w:tbl>
    <w:p w14:paraId="468E914C">
      <w:pPr>
        <w:wordWrap w:val="0"/>
        <w:jc w:val="center"/>
        <w:rPr>
          <w:rFonts w:ascii="Times New Roman" w:hAnsi="Times New Roman" w:cs="Times New Roman"/>
        </w:rPr>
      </w:pPr>
    </w:p>
    <w:sectPr>
      <w:headerReference r:id="rId3" w:type="default"/>
      <w:pgSz w:w="11904" w:h="16840" w:orient="landscape"/>
      <w:pgMar w:top="1797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381352"/>
      <w:docPartObj>
        <w:docPartGallery w:val="autotext"/>
      </w:docPartObj>
    </w:sdtPr>
    <w:sdtContent>
      <w:p w14:paraId="15F9FB24">
        <w:pPr>
          <w:ind w:left="708" w:leftChars="337"/>
          <w:rPr>
            <w:rFonts w:hint="eastAsia" w:ascii="Times New Roman" w:hAnsi="Times New Roman" w:eastAsia="宋体" w:cs="Times New Roman"/>
            <w:sz w:val="18"/>
            <w:szCs w:val="18"/>
            <w:lang w:val="de-DE"/>
          </w:rPr>
        </w:pPr>
        <w:r>
          <w:rPr>
            <w:rFonts w:hint="eastAsia" w:ascii="Times New Roman" w:hAnsi="Times New Roman" w:eastAsia="宋体" w:cs="Times New Roman"/>
            <w:sz w:val="18"/>
            <w:szCs w:val="18"/>
            <w:lang w:val="de-DE"/>
          </w:rPr>
          <w:t>中机检测有限公司</w:t>
        </w:r>
      </w:p>
      <w:p w14:paraId="55BC4AAA">
        <w:pPr>
          <w:ind w:left="708" w:leftChars="337"/>
          <w:rPr>
            <w:rFonts w:hint="eastAsia" w:ascii="Times New Roman" w:hAnsi="Times New Roman" w:eastAsia="宋体" w:cs="Times New Roman"/>
            <w:sz w:val="18"/>
            <w:szCs w:val="18"/>
            <w:lang w:val="de-DE"/>
          </w:rPr>
        </w:pPr>
        <w:r>
          <w:rPr>
            <w:rFonts w:hint="eastAsia" w:ascii="Times New Roman" w:hAnsi="Times New Roman" w:eastAsia="宋体" w:cs="Times New Roman"/>
            <w:sz w:val="18"/>
            <w:szCs w:val="18"/>
            <w:lang w:val="de-DE"/>
          </w:rPr>
          <w:t>国家试验机质量检验检测中心</w:t>
        </w:r>
      </w:p>
      <w:p w14:paraId="0AB8E39F">
        <w:pPr>
          <w:ind w:left="708" w:leftChars="337"/>
          <w:rPr>
            <w:rFonts w:hint="default" w:ascii="Times New Roman" w:hAnsi="Times New Roman" w:eastAsia="宋体" w:cs="Times New Roman"/>
            <w:sz w:val="18"/>
            <w:szCs w:val="18"/>
            <w:lang w:val="en-US" w:eastAsia="zh-CN"/>
          </w:rPr>
        </w:pPr>
        <w:r>
          <w:rPr>
            <w:rFonts w:hint="eastAsia" w:ascii="Times New Roman" w:hAnsi="Times New Roman" w:eastAsia="宋体" w:cs="Times New Roman"/>
            <w:sz w:val="18"/>
            <w:szCs w:val="18"/>
            <w:lang w:val="en-US" w:eastAsia="zh-CN"/>
          </w:rPr>
          <w:t>Zhong Ji Testing Co.,Ltd</w:t>
        </w:r>
      </w:p>
      <w:p w14:paraId="2134556B">
        <w:pPr>
          <w:ind w:left="708" w:leftChars="337"/>
          <w:rPr>
            <w:rFonts w:ascii="Times New Roman" w:hAnsi="Times New Roman" w:eastAsia="宋体" w:cs="Times New Roman"/>
            <w:sz w:val="18"/>
            <w:szCs w:val="18"/>
            <w:lang w:val="de-DE"/>
          </w:rPr>
        </w:pPr>
        <w:r>
          <w:rPr>
            <w:rFonts w:hint="eastAsia" w:ascii="Times New Roman" w:hAnsi="Times New Roman" w:eastAsia="宋体" w:cs="Times New Roman"/>
            <w:sz w:val="18"/>
            <w:szCs w:val="18"/>
            <w:lang w:val="de-DE"/>
          </w:rPr>
          <w:t>National testing machine quality inspection and testing center</w:t>
        </w:r>
      </w:p>
      <w:tbl>
        <w:tblPr>
          <w:tblStyle w:val="4"/>
          <w:tblW w:w="8505" w:type="dxa"/>
          <w:jc w:val="center"/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12" w:space="0"/>
            <w:insideV w:val="single" w:color="000000" w:sz="8" w:space="0"/>
          </w:tblBorders>
          <w:tblLayout w:type="autofit"/>
          <w:tblCellMar>
            <w:top w:w="0" w:type="dxa"/>
            <w:left w:w="108" w:type="dxa"/>
            <w:bottom w:w="0" w:type="dxa"/>
            <w:right w:w="108" w:type="dxa"/>
          </w:tblCellMar>
        </w:tblPr>
        <w:tblGrid>
          <w:gridCol w:w="1386"/>
          <w:gridCol w:w="3512"/>
          <w:gridCol w:w="3607"/>
        </w:tblGrid>
        <w:tr w14:paraId="6670E9EC">
          <w:tblPrEx>
            <w:tbl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insideH w:val="single" w:color="000000" w:sz="12" w:space="0"/>
              <w:insideV w:val="single" w:color="000000" w:sz="8" w:space="0"/>
            </w:tblBorders>
            <w:tblCellMar>
              <w:top w:w="0" w:type="dxa"/>
              <w:left w:w="108" w:type="dxa"/>
              <w:bottom w:w="0" w:type="dxa"/>
              <w:right w:w="108" w:type="dxa"/>
            </w:tblCellMar>
          </w:tblPrEx>
          <w:trPr>
            <w:trHeight w:val="538" w:hRule="atLeast"/>
            <w:jc w:val="center"/>
          </w:trPr>
          <w:tc>
            <w:tcPr>
              <w:tcW w:w="1386" w:type="dxa"/>
              <w:shd w:val="clear" w:color="auto" w:fill="auto"/>
              <w:vAlign w:val="center"/>
            </w:tcPr>
            <w:p w14:paraId="29A9E80B">
              <w:pPr>
                <w:ind w:left="-107" w:leftChars="-51" w:firstLine="141" w:firstLineChars="100"/>
                <w:jc w:val="center"/>
                <w:rPr>
                  <w:rFonts w:ascii="Times New Roman" w:hAnsi="Times New Roman" w:eastAsia="宋体" w:cs="Times New Roman"/>
                  <w:color w:val="000000"/>
                  <w:sz w:val="14"/>
                  <w:szCs w:val="14"/>
                </w:rPr>
              </w:pPr>
              <w:r>
                <w:rPr>
                  <w:rFonts w:ascii="Times New Roman" w:hAnsi="Times New Roman" w:eastAsia="宋体" w:cs="Times New Roman"/>
                  <w:b/>
                  <w:color w:val="000000"/>
                  <w:sz w:val="14"/>
                  <w:szCs w:val="14"/>
                </w:rPr>
                <w:t>地  址Address</w:t>
              </w:r>
              <w:r>
                <w:rPr>
                  <w:rFonts w:ascii="Times New Roman" w:hAnsi="Times New Roman" w:eastAsia="宋体" w:cs="Times New Roman"/>
                  <w:color w:val="000000"/>
                  <w:sz w:val="14"/>
                  <w:szCs w:val="14"/>
                </w:rPr>
                <w:t>：</w:t>
              </w:r>
            </w:p>
          </w:tc>
          <w:tc>
            <w:tcPr>
              <w:tcW w:w="3512" w:type="dxa"/>
              <w:shd w:val="clear" w:color="auto" w:fill="auto"/>
              <w:vAlign w:val="center"/>
            </w:tcPr>
            <w:p w14:paraId="446B2AFA">
              <w:pPr>
                <w:keepNext w:val="0"/>
                <w:keepLines w:val="0"/>
                <w:pageBreakBefore w:val="0"/>
                <w:widowControl w:val="0"/>
                <w:kinsoku/>
                <w:wordWrap/>
                <w:overflowPunct/>
                <w:topLinePunct w:val="0"/>
                <w:autoSpaceDE w:val="0"/>
                <w:autoSpaceDN w:val="0"/>
                <w:bidi w:val="0"/>
                <w:adjustRightInd w:val="0"/>
                <w:snapToGrid w:val="0"/>
                <w:spacing w:line="240" w:lineRule="auto"/>
                <w:ind w:left="0" w:leftChars="0"/>
                <w:jc w:val="both"/>
                <w:textAlignment w:val="auto"/>
                <w:rPr>
                  <w:rFonts w:hint="eastAsia" w:ascii="Times New Roman" w:hAnsi="Times New Roman" w:eastAsia="宋体" w:cs="Times New Roman"/>
                  <w:color w:val="000000"/>
                  <w:sz w:val="14"/>
                  <w:szCs w:val="14"/>
                </w:rPr>
              </w:pPr>
              <w:r>
                <w:rPr>
                  <w:rFonts w:hint="eastAsia" w:ascii="Times New Roman" w:hAnsi="Times New Roman" w:eastAsia="宋体" w:cs="Times New Roman"/>
                  <w:color w:val="000000"/>
                  <w:sz w:val="14"/>
                  <w:szCs w:val="14"/>
                </w:rPr>
                <w:t>中国·吉林省长春市越达路1118号</w:t>
              </w:r>
            </w:p>
            <w:p w14:paraId="12889807">
              <w:pPr>
                <w:keepNext w:val="0"/>
                <w:keepLines w:val="0"/>
                <w:pageBreakBefore w:val="0"/>
                <w:widowControl w:val="0"/>
                <w:kinsoku/>
                <w:wordWrap/>
                <w:overflowPunct/>
                <w:topLinePunct w:val="0"/>
                <w:autoSpaceDE w:val="0"/>
                <w:autoSpaceDN w:val="0"/>
                <w:bidi w:val="0"/>
                <w:adjustRightInd w:val="0"/>
                <w:snapToGrid w:val="0"/>
                <w:spacing w:line="240" w:lineRule="auto"/>
                <w:ind w:left="0" w:leftChars="0"/>
                <w:jc w:val="both"/>
                <w:textAlignment w:val="auto"/>
                <w:rPr>
                  <w:rFonts w:hint="eastAsia" w:ascii="Times New Roman" w:hAnsi="Times New Roman" w:eastAsia="宋体" w:cs="Times New Roman"/>
                  <w:color w:val="000000"/>
                  <w:sz w:val="14"/>
                  <w:szCs w:val="14"/>
                </w:rPr>
              </w:pPr>
              <w:r>
                <w:rPr>
                  <w:rFonts w:hint="eastAsia" w:ascii="Times New Roman" w:hAnsi="Times New Roman" w:eastAsia="宋体" w:cs="Times New Roman"/>
                  <w:color w:val="000000"/>
                  <w:sz w:val="14"/>
                  <w:szCs w:val="14"/>
                </w:rPr>
                <w:t>1118# Yueda Road,Changchun,Jilin,P.R.China</w:t>
              </w:r>
            </w:p>
          </w:tc>
          <w:tc>
            <w:tcPr>
              <w:tcW w:w="3607" w:type="dxa"/>
              <w:shd w:val="clear" w:color="auto" w:fill="auto"/>
              <w:vAlign w:val="center"/>
            </w:tcPr>
            <w:p w14:paraId="67C5CCAD">
              <w:pPr>
                <w:keepNext w:val="0"/>
                <w:keepLines w:val="0"/>
                <w:pageBreakBefore w:val="0"/>
                <w:widowControl w:val="0"/>
                <w:kinsoku/>
                <w:wordWrap/>
                <w:overflowPunct/>
                <w:topLinePunct w:val="0"/>
                <w:autoSpaceDE w:val="0"/>
                <w:autoSpaceDN w:val="0"/>
                <w:bidi w:val="0"/>
                <w:adjustRightInd w:val="0"/>
                <w:snapToGrid w:val="0"/>
                <w:spacing w:before="40" w:line="240" w:lineRule="auto"/>
                <w:ind w:left="-44" w:leftChars="-21" w:right="-170"/>
                <w:jc w:val="both"/>
                <w:textAlignment w:val="auto"/>
                <w:rPr>
                  <w:rFonts w:hint="default" w:ascii="Times New Roman" w:hAnsi="Times New Roman" w:eastAsia="宋体" w:cs="Times New Roman"/>
                  <w:color w:val="000000"/>
                  <w:sz w:val="14"/>
                  <w:szCs w:val="14"/>
                  <w:lang w:val="en-US" w:eastAsia="zh-CN"/>
                </w:rPr>
              </w:pPr>
              <w:r>
                <w:rPr>
                  <w:rFonts w:ascii="Times New Roman" w:hAnsi="Times New Roman" w:eastAsia="宋体" w:cs="Times New Roman"/>
                  <w:b/>
                  <w:bCs/>
                  <w:iCs/>
                  <w:sz w:val="14"/>
                  <w:szCs w:val="14"/>
                </w:rPr>
                <w:t>服务电话</w:t>
              </w:r>
              <w:r>
                <w:rPr>
                  <w:rFonts w:hint="eastAsia" w:ascii="Times New Roman" w:hAnsi="Times New Roman" w:eastAsia="宋体" w:cs="Times New Roman"/>
                  <w:b/>
                  <w:bCs/>
                  <w:iCs/>
                  <w:sz w:val="14"/>
                  <w:szCs w:val="14"/>
                  <w:lang w:val="en-US" w:eastAsia="zh-CN"/>
                </w:rPr>
                <w:t xml:space="preserve"> </w:t>
              </w:r>
              <w:r>
                <w:rPr>
                  <w:rFonts w:hint="eastAsia" w:ascii="Times New Roman" w:hAnsi="Times New Roman" w:eastAsia="宋体" w:cs="Times New Roman"/>
                  <w:b/>
                  <w:bCs/>
                  <w:iCs/>
                  <w:sz w:val="14"/>
                  <w:szCs w:val="14"/>
                </w:rPr>
                <w:t>：</w:t>
              </w:r>
              <w:r>
                <w:rPr>
                  <w:rFonts w:hint="eastAsia" w:ascii="Times New Roman" w:hAnsi="Times New Roman" w:eastAsia="宋体" w:cs="Times New Roman"/>
                  <w:color w:val="000000"/>
                  <w:sz w:val="14"/>
                  <w:szCs w:val="14"/>
                </w:rPr>
                <w:t xml:space="preserve">18801171779 </w:t>
              </w:r>
              <w:r>
                <w:rPr>
                  <w:rFonts w:hint="eastAsia" w:ascii="Times New Roman" w:hAnsi="Times New Roman" w:eastAsia="宋体" w:cs="Times New Roman"/>
                  <w:color w:val="000000"/>
                  <w:sz w:val="14"/>
                  <w:szCs w:val="14"/>
                  <w:lang w:eastAsia="zh-CN"/>
                </w:rPr>
                <w:t>；</w:t>
              </w:r>
              <w:r>
                <w:rPr>
                  <w:rFonts w:hint="eastAsia" w:ascii="Times New Roman" w:hAnsi="Times New Roman" w:eastAsia="宋体" w:cs="Times New Roman"/>
                  <w:color w:val="000000"/>
                  <w:sz w:val="14"/>
                  <w:szCs w:val="14"/>
                  <w:lang w:val="en-US" w:eastAsia="zh-CN"/>
                </w:rPr>
                <w:t>18660046348</w:t>
              </w:r>
            </w:p>
            <w:p w14:paraId="70116587">
              <w:pPr>
                <w:keepNext w:val="0"/>
                <w:keepLines w:val="0"/>
                <w:pageBreakBefore w:val="0"/>
                <w:widowControl w:val="0"/>
                <w:kinsoku/>
                <w:wordWrap/>
                <w:overflowPunct/>
                <w:topLinePunct w:val="0"/>
                <w:autoSpaceDE w:val="0"/>
                <w:autoSpaceDN w:val="0"/>
                <w:bidi w:val="0"/>
                <w:adjustRightInd w:val="0"/>
                <w:snapToGrid w:val="0"/>
                <w:spacing w:line="240" w:lineRule="auto"/>
                <w:ind w:left="-44" w:leftChars="-21"/>
                <w:jc w:val="both"/>
                <w:textAlignment w:val="auto"/>
                <w:rPr>
                  <w:rFonts w:ascii="Times New Roman" w:hAnsi="Times New Roman" w:cs="Times New Roman"/>
                  <w:bCs/>
                  <w:iCs/>
                  <w:color w:val="0000FF"/>
                  <w:sz w:val="14"/>
                  <w:szCs w:val="14"/>
                </w:rPr>
              </w:pPr>
              <w:r>
                <w:rPr>
                  <w:rFonts w:hint="eastAsia" w:ascii="Times New Roman" w:hAnsi="Times New Roman" w:eastAsia="宋体" w:cs="Times New Roman"/>
                  <w:b/>
                  <w:bCs/>
                  <w:iCs/>
                  <w:sz w:val="14"/>
                  <w:szCs w:val="14"/>
                  <w:lang w:val="en-US" w:eastAsia="zh-CN"/>
                </w:rPr>
                <w:t>服务</w:t>
              </w:r>
              <w:r>
                <w:rPr>
                  <w:rFonts w:ascii="Times New Roman" w:hAnsi="Times New Roman" w:eastAsia="宋体" w:cs="Times New Roman"/>
                  <w:b/>
                  <w:bCs/>
                  <w:iCs/>
                  <w:sz w:val="14"/>
                  <w:szCs w:val="14"/>
                </w:rPr>
                <w:t>邮箱 :</w:t>
              </w:r>
              <w:r>
                <w:rPr>
                  <w:rFonts w:ascii="Times New Roman" w:hAnsi="Times New Roman" w:cs="Times New Roman"/>
                  <w:b/>
                  <w:bCs/>
                  <w:iCs/>
                  <w:sz w:val="14"/>
                  <w:szCs w:val="14"/>
                </w:rPr>
                <w:t xml:space="preserve"> </w:t>
              </w:r>
              <w:r>
                <w:rPr>
                  <w:rFonts w:hint="eastAsia" w:ascii="Times New Roman" w:hAnsi="Times New Roman" w:cs="Times New Roman"/>
                  <w:b/>
                  <w:bCs/>
                  <w:iCs/>
                  <w:sz w:val="14"/>
                  <w:szCs w:val="14"/>
                  <w:lang w:val="en-US" w:eastAsia="zh-CN"/>
                </w:rPr>
                <w:t xml:space="preserve"> </w:t>
              </w:r>
              <w:r>
                <w:rPr>
                  <w:rFonts w:hint="eastAsia" w:ascii="Times New Roman" w:hAnsi="Times New Roman" w:eastAsia="宋体" w:cs="Times New Roman"/>
                  <w:color w:val="000000"/>
                  <w:sz w:val="14"/>
                  <w:szCs w:val="14"/>
                </w:rPr>
                <w:t>cmtesting@163.com</w:t>
              </w:r>
            </w:p>
          </w:tc>
        </w:tr>
      </w:tbl>
      <w:p w14:paraId="14CAE292">
        <w:pPr>
          <w:ind w:left="567" w:leftChars="270"/>
          <w:jc w:val="right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bookFoldPrinting w:val="1"/>
  <w:bookFoldPrintingSheets w:val="-4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hZDQ0MjQyZDg3N2MzY2FlNTg2MWZjZWJlYzdlNjgifQ=="/>
  </w:docVars>
  <w:rsids>
    <w:rsidRoot w:val="00263631"/>
    <w:rsid w:val="000A1A39"/>
    <w:rsid w:val="000B5A66"/>
    <w:rsid w:val="000C4852"/>
    <w:rsid w:val="00133A44"/>
    <w:rsid w:val="001A41CB"/>
    <w:rsid w:val="001B40C9"/>
    <w:rsid w:val="00263631"/>
    <w:rsid w:val="00533646"/>
    <w:rsid w:val="00556927"/>
    <w:rsid w:val="005C5EEF"/>
    <w:rsid w:val="005D546A"/>
    <w:rsid w:val="00670669"/>
    <w:rsid w:val="006C49C1"/>
    <w:rsid w:val="006E6E6C"/>
    <w:rsid w:val="008C0C1A"/>
    <w:rsid w:val="009A7632"/>
    <w:rsid w:val="00A206D8"/>
    <w:rsid w:val="00A72156"/>
    <w:rsid w:val="00A8040D"/>
    <w:rsid w:val="00A81049"/>
    <w:rsid w:val="00A85544"/>
    <w:rsid w:val="00AC50FE"/>
    <w:rsid w:val="00AD3990"/>
    <w:rsid w:val="00AD5020"/>
    <w:rsid w:val="00B312BF"/>
    <w:rsid w:val="00B533E9"/>
    <w:rsid w:val="00BD3E8F"/>
    <w:rsid w:val="00C24A31"/>
    <w:rsid w:val="00C86F89"/>
    <w:rsid w:val="00D00173"/>
    <w:rsid w:val="00D15D58"/>
    <w:rsid w:val="00D53175"/>
    <w:rsid w:val="00EB74C7"/>
    <w:rsid w:val="00ED7344"/>
    <w:rsid w:val="00F76738"/>
    <w:rsid w:val="00F85688"/>
    <w:rsid w:val="00FD2149"/>
    <w:rsid w:val="027C4CDF"/>
    <w:rsid w:val="03E01A88"/>
    <w:rsid w:val="04042F6F"/>
    <w:rsid w:val="062E6C7E"/>
    <w:rsid w:val="08263014"/>
    <w:rsid w:val="083A3A0A"/>
    <w:rsid w:val="0B46428D"/>
    <w:rsid w:val="0CC73EE7"/>
    <w:rsid w:val="0D7336B7"/>
    <w:rsid w:val="0DB25F8E"/>
    <w:rsid w:val="0FE5574D"/>
    <w:rsid w:val="11CB7313"/>
    <w:rsid w:val="11CE7629"/>
    <w:rsid w:val="14EF52D3"/>
    <w:rsid w:val="15653949"/>
    <w:rsid w:val="1B763DC9"/>
    <w:rsid w:val="1BA54847"/>
    <w:rsid w:val="1C36475E"/>
    <w:rsid w:val="1CE943ED"/>
    <w:rsid w:val="1D0B55B9"/>
    <w:rsid w:val="1D6F227C"/>
    <w:rsid w:val="1E5B5444"/>
    <w:rsid w:val="1F05527E"/>
    <w:rsid w:val="1F9A5771"/>
    <w:rsid w:val="20706FE9"/>
    <w:rsid w:val="24D67A1F"/>
    <w:rsid w:val="25630234"/>
    <w:rsid w:val="295B3290"/>
    <w:rsid w:val="3055412C"/>
    <w:rsid w:val="30BF439A"/>
    <w:rsid w:val="323904EC"/>
    <w:rsid w:val="337A6C9E"/>
    <w:rsid w:val="3635536D"/>
    <w:rsid w:val="38975BFC"/>
    <w:rsid w:val="3AB55180"/>
    <w:rsid w:val="3C2671AD"/>
    <w:rsid w:val="3ED02E1A"/>
    <w:rsid w:val="451333CC"/>
    <w:rsid w:val="452777B9"/>
    <w:rsid w:val="4819662E"/>
    <w:rsid w:val="4A027732"/>
    <w:rsid w:val="4D0136EC"/>
    <w:rsid w:val="4E53036B"/>
    <w:rsid w:val="4FB10F96"/>
    <w:rsid w:val="505E6455"/>
    <w:rsid w:val="597B6DF2"/>
    <w:rsid w:val="5A06145E"/>
    <w:rsid w:val="5AD167DA"/>
    <w:rsid w:val="5B444423"/>
    <w:rsid w:val="5C003248"/>
    <w:rsid w:val="5CBC3D00"/>
    <w:rsid w:val="5E655BFE"/>
    <w:rsid w:val="6485497B"/>
    <w:rsid w:val="655B4BDA"/>
    <w:rsid w:val="671D183F"/>
    <w:rsid w:val="67E8427B"/>
    <w:rsid w:val="68371B3A"/>
    <w:rsid w:val="697A50A9"/>
    <w:rsid w:val="69A3778E"/>
    <w:rsid w:val="69AD270D"/>
    <w:rsid w:val="6BF43BAA"/>
    <w:rsid w:val="729C2264"/>
    <w:rsid w:val="760A33BE"/>
    <w:rsid w:val="764D788C"/>
    <w:rsid w:val="7A6242A9"/>
    <w:rsid w:val="7DC878B1"/>
    <w:rsid w:val="7F2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autoRedefine/>
    <w:qFormat/>
    <w:uiPriority w:val="0"/>
    <w:rPr>
      <w:i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2531</Words>
  <Characters>2654</Characters>
  <Lines>19</Lines>
  <Paragraphs>5</Paragraphs>
  <TotalTime>2</TotalTime>
  <ScaleCrop>false</ScaleCrop>
  <LinksUpToDate>false</LinksUpToDate>
  <CharactersWithSpaces>2676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2024-04-28T08:43:00Z</dcterms:created>
  <dc:creator>Administrator</dc:creator>
  <cp:lastModifiedBy>@落无痕@</cp:lastModifiedBy>
  <cp:lastPrinted>2024-04-30T06:59:00Z</cp:lastPrinted>
  <dcterms:modified xsi:type="dcterms:W3CDTF">2024-12-22T08:24:29Z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A471972D9068404799100C31C0AEE701_13</vt:lpwstr>
  </property>
</Properties>
</file>